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ASPECTOS GENERALES </w:t>
      </w:r>
    </w:p>
    <w:tbl>
      <w:tblPr>
        <w:tblStyle w:val="Table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40"/>
        <w:gridCol w:w="4820"/>
        <w:tblGridChange w:id="0">
          <w:tblGrid>
            <w:gridCol w:w="5240"/>
            <w:gridCol w:w="4820"/>
          </w:tblGrid>
        </w:tblGridChange>
      </w:tblGrid>
      <w:tr>
        <w:trPr>
          <w:cantSplit w:val="0"/>
          <w:tblHeader w:val="0"/>
        </w:trPr>
        <w:tc>
          <w:tcPr/>
          <w:p w:rsidR="00000000" w:rsidDel="00000000" w:rsidP="00000000" w:rsidRDefault="00000000" w:rsidRPr="00000000" w14:paraId="0000000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EXPEDIENTE</w:t>
            </w:r>
          </w:p>
          <w:p w:rsidR="00000000" w:rsidDel="00000000" w:rsidP="00000000" w:rsidRDefault="00000000" w:rsidRPr="00000000" w14:paraId="00000003">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4">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202576002100100007E</w:t>
            </w:r>
            <w:r w:rsidDel="00000000" w:rsidR="00000000" w:rsidRPr="00000000">
              <w:rPr>
                <w:rtl w:val="0"/>
              </w:rPr>
            </w:r>
          </w:p>
        </w:tc>
      </w:tr>
      <w:tr>
        <w:trPr>
          <w:cantSplit w:val="0"/>
          <w:tblHeader w:val="0"/>
        </w:trPr>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contrato o convenio</w:t>
            </w:r>
          </w:p>
        </w:tc>
        <w:tc>
          <w:tcPr/>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768 DE 2024</w:t>
            </w:r>
            <w:r w:rsidDel="00000000" w:rsidR="00000000" w:rsidRPr="00000000">
              <w:rPr>
                <w:rtl w:val="0"/>
              </w:rPr>
            </w:r>
          </w:p>
        </w:tc>
      </w:tr>
      <w:tr>
        <w:trPr>
          <w:cantSplit w:val="0"/>
          <w:trHeight w:val="335" w:hRule="atLeast"/>
          <w:tblHeader w:val="0"/>
        </w:trPr>
        <w:tc>
          <w:tcPr/>
          <w:p w:rsidR="00000000" w:rsidDel="00000000" w:rsidP="00000000" w:rsidRDefault="00000000" w:rsidRPr="00000000" w14:paraId="0000000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Tipo de contrato</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CONVENIO INTERADMINISTRATIVO</w:t>
            </w:r>
            <w:r w:rsidDel="00000000" w:rsidR="00000000" w:rsidRPr="00000000">
              <w:rPr>
                <w:rtl w:val="0"/>
              </w:rPr>
            </w:r>
          </w:p>
        </w:tc>
      </w:tr>
      <w:tr>
        <w:trPr>
          <w:cantSplit w:val="0"/>
          <w:tblHeader w:val="0"/>
        </w:trPr>
        <w:tc>
          <w:tcPr/>
          <w:p w:rsidR="00000000" w:rsidDel="00000000" w:rsidP="00000000" w:rsidRDefault="00000000" w:rsidRPr="00000000" w14:paraId="0000000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Contratista </w:t>
            </w:r>
          </w:p>
        </w:tc>
        <w:tc>
          <w:tcPr/>
          <w:p w:rsidR="00000000" w:rsidDel="00000000" w:rsidP="00000000" w:rsidRDefault="00000000" w:rsidRPr="00000000" w14:paraId="0000000A">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ASOCIACIÓN NACIONAL </w:t>
            </w:r>
            <w:r w:rsidDel="00000000" w:rsidR="00000000" w:rsidRPr="00000000">
              <w:rPr>
                <w:rFonts w:ascii="Arial" w:cs="Arial" w:eastAsia="Arial" w:hAnsi="Arial"/>
                <w:sz w:val="24"/>
                <w:szCs w:val="24"/>
                <w:rtl w:val="0"/>
              </w:rPr>
              <w:t xml:space="preserve">DE LAS ARTES</w:t>
            </w:r>
          </w:p>
        </w:tc>
      </w:tr>
      <w:tr>
        <w:trPr>
          <w:cantSplit w:val="0"/>
          <w:tblHeader w:val="0"/>
        </w:trPr>
        <w:tc>
          <w:tcPr/>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w:t>
            </w:r>
          </w:p>
          <w:p w:rsidR="00000000" w:rsidDel="00000000" w:rsidP="00000000" w:rsidRDefault="00000000" w:rsidRPr="00000000" w14:paraId="0000000C">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before="5" w:line="240" w:lineRule="auto"/>
              <w:ind w:right="84"/>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“Aunar esfuerzos institucionales, administrativos, técnicos, financieros y tecnológicos entre la Secretaría Distrital de Cultura Recreación y Deporte y la Asociación Nacional de Música Sinfónica, para la estructuración, preparación, lanzamiento, divulgación y previsión en general del Concurso Internacional de Violín 2025” </w:t>
            </w: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0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Plazo del contrato</w:t>
            </w:r>
          </w:p>
        </w:tc>
        <w:tc>
          <w:tcPr/>
          <w:p w:rsidR="00000000" w:rsidDel="00000000" w:rsidP="00000000" w:rsidRDefault="00000000" w:rsidRPr="00000000" w14:paraId="0000000F">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Desde 6/12/2024 hasta el 28/11/2025</w:t>
            </w:r>
            <w:r w:rsidDel="00000000" w:rsidR="00000000" w:rsidRPr="00000000">
              <w:rPr>
                <w:rtl w:val="0"/>
              </w:rPr>
            </w:r>
          </w:p>
        </w:tc>
      </w:tr>
      <w:tr>
        <w:trPr>
          <w:cantSplit w:val="0"/>
          <w:trHeight w:val="681" w:hRule="atLeast"/>
          <w:tblHeader w:val="0"/>
        </w:trPr>
        <w:tc>
          <w:tcPr/>
          <w:p w:rsidR="00000000" w:rsidDel="00000000" w:rsidP="00000000" w:rsidRDefault="00000000" w:rsidRPr="00000000" w14:paraId="0000001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del cumplimiento de los requisitos de ejecución</w:t>
            </w:r>
          </w:p>
        </w:tc>
        <w:tc>
          <w:tcPr/>
          <w:p w:rsidR="00000000" w:rsidDel="00000000" w:rsidP="00000000" w:rsidRDefault="00000000" w:rsidRPr="00000000" w14:paraId="00000011">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3">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01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 </w:t>
            </w:r>
          </w:p>
        </w:tc>
        <w:tc>
          <w:tcPr/>
          <w:p w:rsidR="00000000" w:rsidDel="00000000" w:rsidP="00000000" w:rsidRDefault="00000000" w:rsidRPr="00000000" w14:paraId="00000015">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6/12/2024</w:t>
            </w:r>
            <w:r w:rsidDel="00000000" w:rsidR="00000000" w:rsidRPr="00000000">
              <w:rPr>
                <w:rtl w:val="0"/>
              </w:rPr>
            </w:r>
          </w:p>
        </w:tc>
      </w:tr>
      <w:tr>
        <w:trPr>
          <w:cantSplit w:val="0"/>
          <w:tblHeader w:val="0"/>
        </w:trPr>
        <w:tc>
          <w:tcPr/>
          <w:p w:rsidR="00000000" w:rsidDel="00000000" w:rsidP="00000000" w:rsidRDefault="00000000" w:rsidRPr="00000000" w14:paraId="0000001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terminación</w:t>
            </w:r>
          </w:p>
        </w:tc>
        <w:tc>
          <w:tcPr/>
          <w:p w:rsidR="00000000" w:rsidDel="00000000" w:rsidP="00000000" w:rsidRDefault="00000000" w:rsidRPr="00000000" w14:paraId="00000017">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28/11/2025</w:t>
            </w:r>
            <w:r w:rsidDel="00000000" w:rsidR="00000000" w:rsidRPr="00000000">
              <w:rPr>
                <w:rtl w:val="0"/>
              </w:rPr>
            </w:r>
          </w:p>
        </w:tc>
      </w:tr>
      <w:tr>
        <w:trPr>
          <w:cantSplit w:val="0"/>
          <w:tblHeader w:val="0"/>
        </w:trPr>
        <w:tc>
          <w:tcPr/>
          <w:p w:rsidR="00000000" w:rsidDel="00000000" w:rsidP="00000000" w:rsidRDefault="00000000" w:rsidRPr="00000000" w14:paraId="0000001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Período analizado o certificado (dd/mm/aa)</w:t>
            </w:r>
          </w:p>
        </w:tc>
        <w:tc>
          <w:tcPr/>
          <w:p w:rsidR="00000000" w:rsidDel="00000000" w:rsidP="00000000" w:rsidRDefault="00000000" w:rsidRPr="00000000" w14:paraId="00000019">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DEL 01/10/2025 AL 31/10/2025</w:t>
            </w:r>
            <w:r w:rsidDel="00000000" w:rsidR="00000000" w:rsidRPr="00000000">
              <w:rPr>
                <w:rtl w:val="0"/>
              </w:rPr>
            </w:r>
          </w:p>
        </w:tc>
      </w:tr>
      <w:tr>
        <w:trPr>
          <w:cantSplit w:val="0"/>
          <w:trHeight w:val="1910" w:hRule="atLeast"/>
          <w:tblHeader w:val="0"/>
        </w:trPr>
        <w:tc>
          <w:tcPr/>
          <w:p w:rsidR="00000000" w:rsidDel="00000000" w:rsidP="00000000" w:rsidRDefault="00000000" w:rsidRPr="00000000" w14:paraId="0000001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1B">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bl>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INFORME SOBRE EJECUCIÓN Y AVANCE DEL CONTRATO</w:t>
      </w:r>
    </w:p>
    <w:p w:rsidR="00000000" w:rsidDel="00000000" w:rsidP="00000000" w:rsidRDefault="00000000" w:rsidRPr="00000000" w14:paraId="00000022">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 continuación, se procede a rendir el informe sobre la ejecución y cumplimiento del objeto contratado y cada una de las obligaciones pactadas así:  </w:t>
      </w:r>
    </w:p>
    <w:p w:rsidR="00000000" w:rsidDel="00000000" w:rsidP="00000000" w:rsidRDefault="00000000" w:rsidRPr="00000000" w14:paraId="0000002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 </w:t>
      </w:r>
    </w:p>
    <w:tbl>
      <w:tblPr>
        <w:tblStyle w:val="Table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2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2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35" w:hRule="atLeast"/>
          <w:tblHeader w:val="0"/>
        </w:trPr>
        <w:tc>
          <w:tcPr/>
          <w:p w:rsidR="00000000" w:rsidDel="00000000" w:rsidP="00000000" w:rsidRDefault="00000000" w:rsidRPr="00000000" w14:paraId="0000002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del informe, se llevó a cabo la evaluación de los inscritos a las clases magistrales, por parte de los dos jurados vinculados. Para el correcto desarrollo de su labor se elaboró la matriz de evaluación</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Evaluación Juan José Restrepo: </w:t>
            </w:r>
            <w:hyperlink r:id="rId7">
              <w:r w:rsidDel="00000000" w:rsidR="00000000" w:rsidRPr="00000000">
                <w:rPr>
                  <w:rFonts w:ascii="Arial" w:cs="Arial" w:eastAsia="Arial" w:hAnsi="Arial"/>
                  <w:color w:val="0000ff"/>
                  <w:sz w:val="24"/>
                  <w:szCs w:val="24"/>
                  <w:u w:val="single"/>
                  <w:rtl w:val="0"/>
                </w:rPr>
                <w:t xml:space="preserve">https://docs.google.com/spreadsheets/d/1BDoSKmA7QIjocpiZvPFnAk3RW4i1ebNleILECi8Uo2c/edit?usp=drive_link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Evaluación Stephanie Celis-Tharan: </w:t>
            </w:r>
            <w:hyperlink r:id="rId8">
              <w:r w:rsidDel="00000000" w:rsidR="00000000" w:rsidRPr="00000000">
                <w:rPr>
                  <w:rFonts w:ascii="Arial" w:cs="Arial" w:eastAsia="Arial" w:hAnsi="Arial"/>
                  <w:color w:val="0000ff"/>
                  <w:sz w:val="24"/>
                  <w:szCs w:val="24"/>
                  <w:u w:val="single"/>
                  <w:rtl w:val="0"/>
                </w:rPr>
                <w:t xml:space="preserve">https://docs.google.com/spreadsheets/d/1BDoSKmA7QIjocpiZvPFnAk3RW4i1ebNleILECi8Uo2c/edit?usp=drive_link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 el fin de consolidar ambas evaluaciones y dar lugar al listado definitivo, se elaboró la siguiente matriz:</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Evaluación final Masterclass: </w:t>
            </w:r>
            <w:hyperlink r:id="rId9">
              <w:r w:rsidDel="00000000" w:rsidR="00000000" w:rsidRPr="00000000">
                <w:rPr>
                  <w:rFonts w:ascii="Arial" w:cs="Arial" w:eastAsia="Arial" w:hAnsi="Arial"/>
                  <w:color w:val="0000ff"/>
                  <w:sz w:val="24"/>
                  <w:szCs w:val="24"/>
                  <w:u w:val="single"/>
                  <w:rtl w:val="0"/>
                </w:rPr>
                <w:t xml:space="preserve">https://docs.google.com/spreadsheets/d/1ujyUAl1rUiPZ4xeeg8uPkXdJlU6hp3aMzY9NGSZxAIc/edit?gid=0#gid=0</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Estos procesos e insumos permitieron identificar a los 50 violinistas, entre los 8 y los 26 años, seleccionados para participar como estudiantes activos en las clases magistrales.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Una vez identificados estos violinistas se llevaron a cabo las siguientes acciones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Notificación a los aceptados como participantes activos.</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Invitación como observadores a los violinistas que no fueron seleccionados como participantes activos.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Compilación del repertorio a interpretar por parte de los participantes activos.</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Compilación de información para listados de ingreso.</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Programación final de clases magistrales.</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 Selección de pianistas acompañantes.</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 Gestión de espacios e ingresos en las instituciones aliadas para el desarrollo de clases magistrales: Universidad de los Andes, Orquesta Sinfónica Nacional y Universidad Jorge Tadeo Lozano.</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 Compilación de violinistas seleccionados provenientes de fuera de Bogotá.</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 Organización de hospitalidad</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hyperlink r:id="rId10">
              <w:r w:rsidDel="00000000" w:rsidR="00000000" w:rsidRPr="00000000">
                <w:rPr>
                  <w:rFonts w:ascii="Arial" w:cs="Arial" w:eastAsia="Arial" w:hAnsi="Arial"/>
                  <w:color w:val="0000ee"/>
                  <w:sz w:val="24"/>
                  <w:szCs w:val="24"/>
                  <w:u w:val="single"/>
                  <w:rtl w:val="0"/>
                </w:rPr>
                <w:t xml:space="preserve">Programación final masterclass</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hyperlink r:id="rId11">
              <w:r w:rsidDel="00000000" w:rsidR="00000000" w:rsidRPr="00000000">
                <w:rPr>
                  <w:rFonts w:ascii="Arial" w:cs="Arial" w:eastAsia="Arial" w:hAnsi="Arial"/>
                  <w:color w:val="0000ee"/>
                  <w:sz w:val="24"/>
                  <w:szCs w:val="24"/>
                  <w:u w:val="single"/>
                  <w:rtl w:val="0"/>
                </w:rPr>
                <w:t xml:space="preserve">Repertorio final</w:t>
              </w:r>
            </w:hyperlink>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hyperlink r:id="rId12">
              <w:r w:rsidDel="00000000" w:rsidR="00000000" w:rsidRPr="00000000">
                <w:rPr>
                  <w:rFonts w:ascii="Arial" w:cs="Arial" w:eastAsia="Arial" w:hAnsi="Arial"/>
                  <w:color w:val="0000ee"/>
                  <w:sz w:val="24"/>
                  <w:szCs w:val="24"/>
                  <w:u w:val="single"/>
                  <w:rtl w:val="0"/>
                </w:rPr>
                <w:t xml:space="preserve">PIANISTAS CONCURSO</w:t>
              </w:r>
            </w:hyperlink>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hyperlink r:id="rId13">
              <w:r w:rsidDel="00000000" w:rsidR="00000000" w:rsidRPr="00000000">
                <w:rPr>
                  <w:rFonts w:ascii="Arial" w:cs="Arial" w:eastAsia="Arial" w:hAnsi="Arial"/>
                  <w:color w:val="0000ee"/>
                  <w:sz w:val="24"/>
                  <w:szCs w:val="24"/>
                  <w:u w:val="single"/>
                  <w:rtl w:val="0"/>
                </w:rPr>
                <w:t xml:space="preserve">PIANISTAS MASTERCLASS</w:t>
              </w:r>
            </w:hyperlink>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4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2: </w:t>
      </w:r>
    </w:p>
    <w:tbl>
      <w:tblPr>
        <w:tblStyle w:val="Table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4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4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4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del informe se llevaron a cabo las siguientes vinculaciones:</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Pianistas acompañantes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Coordinador académico.</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Artistas para concierto de apertura.</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Anfitriones.</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Coordinación de transporte.</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 Productor de campo y apoyos logísticos para clases magistrales.</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before="4" w:line="240" w:lineRule="auto"/>
              <w:ind w:left="112" w:firstLine="0"/>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En cumplimiento de estas funciones, se han llevado a cabo las actividades </w:t>
            </w:r>
            <w:r w:rsidDel="00000000" w:rsidR="00000000" w:rsidRPr="00000000">
              <w:rPr>
                <w:rFonts w:ascii="Arial" w:cs="Arial" w:eastAsia="Arial" w:hAnsi="Arial"/>
                <w:sz w:val="24"/>
                <w:szCs w:val="24"/>
                <w:rtl w:val="0"/>
              </w:rPr>
              <w:t xml:space="preserve">detalladas</w:t>
            </w:r>
            <w:r w:rsidDel="00000000" w:rsidR="00000000" w:rsidRPr="00000000">
              <w:rPr>
                <w:rFonts w:ascii="Arial" w:cs="Arial" w:eastAsia="Arial" w:hAnsi="Arial"/>
                <w:color w:val="000000"/>
                <w:sz w:val="24"/>
                <w:szCs w:val="24"/>
                <w:rtl w:val="0"/>
              </w:rPr>
              <w:t xml:space="preserve"> en la Obligación #5.</w:t>
            </w:r>
            <w:r w:rsidDel="00000000" w:rsidR="00000000" w:rsidRPr="00000000">
              <w:rPr>
                <w:rtl w:val="0"/>
              </w:rPr>
            </w:r>
          </w:p>
        </w:tc>
      </w:tr>
    </w:tbl>
    <w:p w:rsidR="00000000" w:rsidDel="00000000" w:rsidP="00000000" w:rsidRDefault="00000000" w:rsidRPr="00000000" w14:paraId="0000005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3: </w:t>
      </w:r>
    </w:p>
    <w:tbl>
      <w:tblPr>
        <w:tblStyle w:val="Table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5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5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5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del informe se llevaron a cabo las siguientes actividades:</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Programación de ensayos con piano.</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Evaluación final de clases magistrales.</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Planeación del concierto de apertura.</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40" w:lineRule="auto"/>
              <w:ind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4.Planeación </w:t>
            </w:r>
            <w:r w:rsidDel="00000000" w:rsidR="00000000" w:rsidRPr="00000000">
              <w:rPr>
                <w:rFonts w:ascii="Arial" w:cs="Arial" w:eastAsia="Arial" w:hAnsi="Arial"/>
                <w:color w:val="000000"/>
                <w:sz w:val="24"/>
                <w:szCs w:val="24"/>
                <w:rtl w:val="0"/>
              </w:rPr>
              <w:t xml:space="preserve">logística: transportes, acompañamientos y alimentación.</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Visita técnica para ensayos y clases magistrales.</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before="4" w:line="240" w:lineRule="auto"/>
              <w:ind w:left="112" w:firstLine="0"/>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6. Planeación de zona para transmisión de rondas presenciales en la plazoleta del auditorio </w:t>
            </w:r>
            <w:r w:rsidDel="00000000" w:rsidR="00000000" w:rsidRPr="00000000">
              <w:rPr>
                <w:rFonts w:ascii="Arial" w:cs="Arial" w:eastAsia="Arial" w:hAnsi="Arial"/>
                <w:sz w:val="24"/>
                <w:szCs w:val="24"/>
                <w:rtl w:val="0"/>
              </w:rPr>
              <w:t xml:space="preserve">Fabio</w:t>
            </w:r>
            <w:r w:rsidDel="00000000" w:rsidR="00000000" w:rsidRPr="00000000">
              <w:rPr>
                <w:rFonts w:ascii="Arial" w:cs="Arial" w:eastAsia="Arial" w:hAnsi="Arial"/>
                <w:color w:val="000000"/>
                <w:sz w:val="24"/>
                <w:szCs w:val="24"/>
                <w:rtl w:val="0"/>
              </w:rPr>
              <w:t xml:space="preserve"> Lozano.</w:t>
            </w:r>
            <w:r w:rsidDel="00000000" w:rsidR="00000000" w:rsidRPr="00000000">
              <w:rPr>
                <w:rtl w:val="0"/>
              </w:rPr>
            </w:r>
          </w:p>
        </w:tc>
      </w:tr>
    </w:tbl>
    <w:p w:rsidR="00000000" w:rsidDel="00000000" w:rsidP="00000000" w:rsidRDefault="00000000" w:rsidRPr="00000000" w14:paraId="0000005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4: </w:t>
      </w:r>
    </w:p>
    <w:tbl>
      <w:tblPr>
        <w:tblStyle w:val="Table5"/>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6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6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63">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 31 de octubre de 2025 se han realizado 10 comités técnicos operativos de la siguiente forma:</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4"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1er comité técnico operativo el 06-12-2024.</w:t>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2do comité técnico operativo el 22-01-2025.</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3er comité técnico operativo el 19-03-2025.</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4to comité técnico operativo asincrónico el 28-03-2025.</w:t>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5to comité técnico operativo el 12-06-2025.</w:t>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6to comité técnico operativo asincrónico el 13-06-2025.</w:t>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7mo comité técnico operativo asincrónico el 01-07-2025.</w:t>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8vo comité técnico operativo el 28-08-2025.</w:t>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9no comité técnico operativo el 25-09-2025.</w:t>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2" w:right="0" w:hanging="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10mo comité técnico operativo el 31-10-2025.</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Todas las actas reposan en el expediente N° 202576002100100007E de la plataforma Orfeo.</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before="4" w:line="240"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before="4" w:line="24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estas reuniones, se ha acogido y puesto en marcha las recomendaciones formuladas por dicha instancia, lo cual se evidencia en el cronograma y en la ejecución operativa del convenio.</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before="4" w:line="24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 participación ha contribuido a fortalecer el seguimiento técnico y la articulación interinstitucional.</w:t>
            </w:r>
          </w:p>
        </w:tc>
      </w:tr>
    </w:tbl>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5: </w:t>
      </w:r>
    </w:p>
    <w:tbl>
      <w:tblPr>
        <w:tblStyle w:val="Table6"/>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7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7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79">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reportado, se han adelantado las gestiones necesarias para asegurar el adecuado desarrollo del convenio. Entre ellas, se destaca el apoyo administrativo brindado por la SCRD y el cumplimiento progresivo de los compromisos establecidos en los comités técnicos y en el plan de trabajo. Estas acciones han contribuido a una implementación articulada y oportuna.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Los documentos soporte se encuentran disponibles en este link: </w:t>
            </w:r>
            <w:hyperlink r:id="rId14">
              <w:r w:rsidDel="00000000" w:rsidR="00000000" w:rsidRPr="00000000">
                <w:rPr>
                  <w:rFonts w:ascii="Arial" w:cs="Arial" w:eastAsia="Arial" w:hAnsi="Arial"/>
                  <w:color w:val="0000ff"/>
                  <w:sz w:val="24"/>
                  <w:szCs w:val="24"/>
                  <w:u w:val="single"/>
                  <w:rtl w:val="0"/>
                </w:rPr>
                <w:t xml:space="preserve">https://drive.google.com/drive/u/0/folders/1o79La_5ueuyGgdW5uVHy6R0wI-SeHiuQ</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before="4" w:line="24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Adicionalmente, </w:t>
            </w:r>
            <w:r w:rsidDel="00000000" w:rsidR="00000000" w:rsidRPr="00000000">
              <w:rPr>
                <w:rFonts w:ascii="Arial" w:cs="Arial" w:eastAsia="Arial" w:hAnsi="Arial"/>
                <w:color w:val="000000"/>
                <w:sz w:val="24"/>
                <w:szCs w:val="24"/>
                <w:rtl w:val="0"/>
              </w:rPr>
              <w:t xml:space="preserve">se ha realizado seguimiento al proceso de inscripción a las clases magistrales, realizando la verificación de documentación y cumplimiento de requerimientos técnicos. Los avances de esta acción se encuentran disponibles en el siguiente enlace:</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before="4" w:line="240" w:lineRule="auto"/>
              <w:ind w:left="112" w:firstLine="0"/>
              <w:jc w:val="both"/>
              <w:rPr>
                <w:rFonts w:ascii="Times New Roman" w:cs="Times New Roman" w:eastAsia="Times New Roman" w:hAnsi="Times New Roman"/>
                <w:color w:val="000000"/>
                <w:sz w:val="24"/>
                <w:szCs w:val="24"/>
              </w:rPr>
            </w:pPr>
            <w:hyperlink r:id="rId15">
              <w:r w:rsidDel="00000000" w:rsidR="00000000" w:rsidRPr="00000000">
                <w:rPr>
                  <w:rFonts w:ascii="Arial" w:cs="Arial" w:eastAsia="Arial" w:hAnsi="Arial"/>
                  <w:color w:val="0000ff"/>
                  <w:sz w:val="24"/>
                  <w:szCs w:val="24"/>
                  <w:u w:val="single"/>
                  <w:rtl w:val="0"/>
                </w:rPr>
                <w:t xml:space="preserve">https://docs.google.com/spreadsheets/d/1KXIxclA8T8OB2Q4aGVq5GUxG8Fwm0UmTN37CT91Z77E/edit?gid=1885794762#gid=1885794762</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bl>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6: </w:t>
      </w:r>
    </w:p>
    <w:tbl>
      <w:tblPr>
        <w:tblStyle w:val="Table7"/>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8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8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85">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right="83"/>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Durante el periodo reportado, se brindó apoyo a la actualización del presupuesto general del Concurso, incluyendo la consolidación de los aportes de entidades aliadas, en articulación con los equipos de la Orquesta Filarmónica de Bogotá (OFB) y la Asociación Nacional de las Artes ANA.</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right="83"/>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 </w:t>
              <w:br w:type="textWrapping"/>
            </w:r>
            <w:r w:rsidDel="00000000" w:rsidR="00000000" w:rsidRPr="00000000">
              <w:rPr>
                <w:rFonts w:ascii="Arial" w:cs="Arial" w:eastAsia="Arial" w:hAnsi="Arial"/>
                <w:sz w:val="24"/>
                <w:szCs w:val="24"/>
                <w:rtl w:val="0"/>
              </w:rPr>
              <w:t xml:space="preserve">La ejecución del presupuesto con corte al 31 de octubre se encuentra en la plataforma Orfeo en el expediente 202576002100100007E.</w:t>
            </w:r>
            <w:r w:rsidDel="00000000" w:rsidR="00000000" w:rsidRPr="00000000">
              <w:rPr>
                <w:rtl w:val="0"/>
              </w:rPr>
            </w:r>
          </w:p>
        </w:tc>
      </w:tr>
    </w:tbl>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7: </w:t>
      </w:r>
    </w:p>
    <w:tbl>
      <w:tblPr>
        <w:tblStyle w:val="Table8"/>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8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8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8C">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la fecha se han realizado y enviado por parte de la AN</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 nueve (9) informes de ejecución financiera, correspondientes a los meses de febrero a octubre de 2025 informando la ejecución del convenio, dichos informes enviados a correspondencia.externa@scrd.gov.co y alojados en el expediente No. 202576002100100007E.</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Por otra parte, e</w:t>
            </w:r>
            <w:r w:rsidDel="00000000" w:rsidR="00000000" w:rsidRPr="00000000">
              <w:rPr>
                <w:rFonts w:ascii="Arial" w:cs="Arial" w:eastAsia="Arial" w:hAnsi="Arial"/>
                <w:color w:val="000000"/>
                <w:sz w:val="24"/>
                <w:szCs w:val="24"/>
                <w:rtl w:val="0"/>
              </w:rPr>
              <w:t xml:space="preserve">n el periodo de informe se realizó articulación con las embajadas que se detallan en la obligación 11.</w:t>
            </w:r>
          </w:p>
        </w:tc>
      </w:tr>
    </w:tbl>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8: </w:t>
      </w:r>
    </w:p>
    <w:tbl>
      <w:tblPr>
        <w:tblStyle w:val="Table9"/>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9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9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94">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del informe se llevó a cabo el proceso de diseño de insumos para la evaluación de las rondas presenciales del Concurso. Este proceso se </w:t>
            </w:r>
            <w:r w:rsidDel="00000000" w:rsidR="00000000" w:rsidRPr="00000000">
              <w:rPr>
                <w:rFonts w:ascii="Arial" w:cs="Arial" w:eastAsia="Arial" w:hAnsi="Arial"/>
                <w:sz w:val="24"/>
                <w:szCs w:val="24"/>
                <w:rtl w:val="0"/>
              </w:rPr>
              <w:t xml:space="preserve">realizó</w:t>
            </w:r>
            <w:r w:rsidDel="00000000" w:rsidR="00000000" w:rsidRPr="00000000">
              <w:rPr>
                <w:rFonts w:ascii="Arial" w:cs="Arial" w:eastAsia="Arial" w:hAnsi="Arial"/>
                <w:color w:val="000000"/>
                <w:sz w:val="24"/>
                <w:szCs w:val="24"/>
                <w:rtl w:val="0"/>
              </w:rPr>
              <w:t xml:space="preserve"> de manera presencial entre el coordinador general y la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residenta del jurado, con base en lo establecido en el reglamento del Concurso.</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Los insumos, resultado de este proceso, se encuentran disponibles en la siguiente carpeta:</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before="4" w:line="240" w:lineRule="auto"/>
              <w:jc w:val="both"/>
              <w:rPr>
                <w:rFonts w:ascii="Times New Roman" w:cs="Times New Roman" w:eastAsia="Times New Roman" w:hAnsi="Times New Roman"/>
                <w:color w:val="000000"/>
                <w:sz w:val="24"/>
                <w:szCs w:val="24"/>
              </w:rPr>
            </w:pPr>
            <w:hyperlink r:id="rId16">
              <w:r w:rsidDel="00000000" w:rsidR="00000000" w:rsidRPr="00000000">
                <w:rPr>
                  <w:rFonts w:ascii="Arial" w:cs="Arial" w:eastAsia="Arial" w:hAnsi="Arial"/>
                  <w:color w:val="0000ff"/>
                  <w:sz w:val="24"/>
                  <w:szCs w:val="24"/>
                  <w:u w:val="single"/>
                  <w:rtl w:val="0"/>
                </w:rPr>
                <w:t xml:space="preserve">https://drive.google.com/drive/folders/1_8nY5QU4143pitrcNwtXtppDCZDha91Z?usp=drive_link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bl>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9: </w:t>
      </w:r>
    </w:p>
    <w:tbl>
      <w:tblPr>
        <w:tblStyle w:val="Table10"/>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9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9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9D">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before="4" w:line="240" w:lineRule="auto"/>
              <w:ind w:left="112" w:firstLine="0"/>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Para el cumplimiento de esta obligación se requiere que el concurso haya tenido lugar. Se aprueba una tasa techo en dólares para tener la provisión de premios lista para ese entonces. Los premios se entregarán en el mes de noviembre, de acuerdo al plan de trabajo del presente convenio.</w:t>
            </w:r>
            <w:r w:rsidDel="00000000" w:rsidR="00000000" w:rsidRPr="00000000">
              <w:rPr>
                <w:rtl w:val="0"/>
              </w:rPr>
            </w:r>
          </w:p>
        </w:tc>
      </w:tr>
    </w:tbl>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10: </w:t>
      </w:r>
    </w:p>
    <w:tbl>
      <w:tblPr>
        <w:tblStyle w:val="Table1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A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A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A3">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del informe se llevaron a cabo las siguientes actividades, como parte de las rondas presenciales del concurso:</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Sorteo del orden de presentación en las rondas presenciales: octubre 29, 8pm en el Hotel Tequendama.</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Planeación definitiva de ensayos con pianista.</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Asignación de pianistas acompañantes y notificación de los horarios de ensayo.</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Gestión de ingreso de violinistas, pianistas y equipo de apoyo.</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Afinación de pianos.</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 Ensayos primera ronda.</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 Desarrollo del primer día de primera ronda, con la presentación de 6 candidatos.</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Soportes disponibles: </w:t>
            </w:r>
            <w:hyperlink r:id="rId17">
              <w:r w:rsidDel="00000000" w:rsidR="00000000" w:rsidRPr="00000000">
                <w:rPr>
                  <w:rFonts w:ascii="Arial" w:cs="Arial" w:eastAsia="Arial" w:hAnsi="Arial"/>
                  <w:color w:val="1155cc"/>
                  <w:sz w:val="24"/>
                  <w:szCs w:val="24"/>
                  <w:u w:val="single"/>
                  <w:rtl w:val="0"/>
                </w:rPr>
                <w:t xml:space="preserve">https://drive.google.com/drive/folders/13u0rCLJ6Jsn14NyCq5DlTX9rIY8OhP9t</w:t>
              </w:r>
            </w:hyperlink>
            <w:r w:rsidDel="00000000" w:rsidR="00000000" w:rsidRPr="00000000">
              <w:rPr>
                <w:rtl w:val="0"/>
              </w:rPr>
            </w:r>
          </w:p>
        </w:tc>
      </w:tr>
    </w:tbl>
    <w:p w:rsidR="00000000" w:rsidDel="00000000" w:rsidP="00000000" w:rsidRDefault="00000000" w:rsidRPr="00000000" w14:paraId="000000A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11: </w:t>
      </w:r>
    </w:p>
    <w:tbl>
      <w:tblPr>
        <w:tblStyle w:val="Table1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B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B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before="4" w:line="240" w:lineRule="auto"/>
              <w:ind w:left="110" w:right="86" w:firstLine="0"/>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Gestionar y seguir la relación con patrocinadores</w:t>
            </w:r>
            <w:r w:rsidDel="00000000" w:rsidR="00000000" w:rsidRPr="00000000">
              <w:rPr>
                <w:rtl w:val="0"/>
              </w:rPr>
            </w:r>
          </w:p>
          <w:p w:rsidR="00000000" w:rsidDel="00000000" w:rsidP="00000000" w:rsidRDefault="00000000" w:rsidRPr="00000000" w14:paraId="000000B4">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del informe se llevaron a cabo las siguientes gestiones con aliados estratégicos: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Fundación Bolívar Davivienda: compra de 8 tiquetes para igual número de violinistas, aceptados en las clases magistrales y provenientes de ciudades diferentes a Bogotá.</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Dislicores: gestiones ex</w:t>
            </w:r>
            <w:r w:rsidDel="00000000" w:rsidR="00000000" w:rsidRPr="00000000">
              <w:rPr>
                <w:rFonts w:ascii="Arial" w:cs="Arial" w:eastAsia="Arial" w:hAnsi="Arial"/>
                <w:sz w:val="24"/>
                <w:szCs w:val="24"/>
                <w:rtl w:val="0"/>
              </w:rPr>
              <w:t xml:space="preserve">itosas</w:t>
            </w:r>
            <w:r w:rsidDel="00000000" w:rsidR="00000000" w:rsidRPr="00000000">
              <w:rPr>
                <w:rFonts w:ascii="Arial" w:cs="Arial" w:eastAsia="Arial" w:hAnsi="Arial"/>
                <w:color w:val="000000"/>
                <w:sz w:val="24"/>
                <w:szCs w:val="24"/>
                <w:rtl w:val="0"/>
              </w:rPr>
              <w:t xml:space="preserve"> para </w:t>
            </w:r>
            <w:r w:rsidDel="00000000" w:rsidR="00000000" w:rsidRPr="00000000">
              <w:rPr>
                <w:rFonts w:ascii="Arial" w:cs="Arial" w:eastAsia="Arial" w:hAnsi="Arial"/>
                <w:sz w:val="24"/>
                <w:szCs w:val="24"/>
                <w:rtl w:val="0"/>
              </w:rPr>
              <w:t xml:space="preserve">el patrocinio del evento de apertura del Concurso.</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Embajada de Italia: </w:t>
            </w:r>
            <w:r w:rsidDel="00000000" w:rsidR="00000000" w:rsidRPr="00000000">
              <w:rPr>
                <w:rFonts w:ascii="Arial" w:cs="Arial" w:eastAsia="Arial" w:hAnsi="Arial"/>
                <w:sz w:val="24"/>
                <w:szCs w:val="24"/>
                <w:rtl w:val="0"/>
              </w:rPr>
              <w:t xml:space="preserve">Gestión</w:t>
            </w:r>
            <w:r w:rsidDel="00000000" w:rsidR="00000000" w:rsidRPr="00000000">
              <w:rPr>
                <w:rFonts w:ascii="Arial" w:cs="Arial" w:eastAsia="Arial" w:hAnsi="Arial"/>
                <w:color w:val="000000"/>
                <w:sz w:val="24"/>
                <w:szCs w:val="24"/>
                <w:rtl w:val="0"/>
              </w:rPr>
              <w:t xml:space="preserve"> de recursos en efectivo destinados a la hospitalidad</w:t>
            </w:r>
            <w:r w:rsidDel="00000000" w:rsidR="00000000" w:rsidRPr="00000000">
              <w:rPr>
                <w:rFonts w:ascii="Arial" w:cs="Arial" w:eastAsia="Arial" w:hAnsi="Arial"/>
                <w:sz w:val="24"/>
                <w:szCs w:val="24"/>
                <w:rtl w:val="0"/>
              </w:rPr>
              <w:t xml:space="preserve"> de invitados al acto inaugural del Concurso.</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Embajada de Polonia: </w:t>
            </w:r>
            <w:r w:rsidDel="00000000" w:rsidR="00000000" w:rsidRPr="00000000">
              <w:rPr>
                <w:rFonts w:ascii="Arial" w:cs="Arial" w:eastAsia="Arial" w:hAnsi="Arial"/>
                <w:sz w:val="24"/>
                <w:szCs w:val="24"/>
                <w:rtl w:val="0"/>
              </w:rPr>
              <w:t xml:space="preserve">Gestión de recursos en efectivo destinados a la hospitalidad de invitados al acto inaugural del Concurso.</w:t>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Asociación Nacional de las Artes: </w:t>
            </w:r>
            <w:r w:rsidDel="00000000" w:rsidR="00000000" w:rsidRPr="00000000">
              <w:rPr>
                <w:rFonts w:ascii="Arial" w:cs="Arial" w:eastAsia="Arial" w:hAnsi="Arial"/>
                <w:sz w:val="24"/>
                <w:szCs w:val="24"/>
                <w:rtl w:val="0"/>
              </w:rPr>
              <w:t xml:space="preserve">gestión de tiquetes aéreos (5)</w:t>
            </w:r>
            <w:r w:rsidDel="00000000" w:rsidR="00000000" w:rsidRPr="00000000">
              <w:rPr>
                <w:rFonts w:ascii="Arial" w:cs="Arial" w:eastAsia="Arial" w:hAnsi="Arial"/>
                <w:color w:val="000000"/>
                <w:sz w:val="24"/>
                <w:szCs w:val="24"/>
                <w:rtl w:val="0"/>
              </w:rPr>
              <w:t xml:space="preserve"> tiquetes para igual número de violinistas, aceptados en las clases magistrales y provenientes de ciudades diferentes a Bogotá.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Link de soportes: https://drive.google.com/drive/folders/13u0rCLJ6Jsn14NyCq5DlTX9rIY8OhP9t</w:t>
            </w:r>
          </w:p>
        </w:tc>
      </w:tr>
    </w:tbl>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12: </w:t>
      </w:r>
    </w:p>
    <w:tbl>
      <w:tblPr>
        <w:tblStyle w:val="Table1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Durante el periodo del informe, se llevó a cabo la gestión necesaria para contar con los servicios de The Violin Channel para la retransmisión de las rondas presenciales del Concurso en su portal. Como resultado de esta gestión se suscribió el contrato No. 275, </w:t>
            </w:r>
            <w:r w:rsidDel="00000000" w:rsidR="00000000" w:rsidRPr="00000000">
              <w:rPr>
                <w:rFonts w:ascii="Arial" w:cs="Arial" w:eastAsia="Arial" w:hAnsi="Arial"/>
                <w:sz w:val="24"/>
                <w:szCs w:val="24"/>
                <w:rtl w:val="0"/>
              </w:rPr>
              <w:t xml:space="preserve">entre la ANA y The Violin Channel.</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Soporte: </w:t>
            </w:r>
            <w:hyperlink r:id="rId18">
              <w:r w:rsidDel="00000000" w:rsidR="00000000" w:rsidRPr="00000000">
                <w:rPr>
                  <w:rFonts w:ascii="Arial" w:cs="Arial" w:eastAsia="Arial" w:hAnsi="Arial"/>
                  <w:color w:val="0000ee"/>
                  <w:sz w:val="24"/>
                  <w:szCs w:val="24"/>
                  <w:u w:val="single"/>
                  <w:rtl w:val="0"/>
                </w:rPr>
                <w:t xml:space="preserve">THE VIOLIN CHANNEL</w:t>
              </w:r>
            </w:hyperlink>
            <w:r w:rsidDel="00000000" w:rsidR="00000000" w:rsidRPr="00000000">
              <w:rPr>
                <w:rtl w:val="0"/>
              </w:rPr>
            </w:r>
          </w:p>
        </w:tc>
      </w:tr>
    </w:tbl>
    <w:p w:rsidR="00000000" w:rsidDel="00000000" w:rsidP="00000000" w:rsidRDefault="00000000" w:rsidRPr="00000000" w14:paraId="000000C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13: </w:t>
      </w:r>
    </w:p>
    <w:tbl>
      <w:tblPr>
        <w:tblStyle w:val="Table1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C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del informe se llevaron a cabo las siguientes acciones para el desarrollo de la transmisión del concurso y la producción de un cortometraje documental:</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Vinculación de las productoras Mirada Frame y Monarca, para transmisión y documental, respectivamente.</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Realización de visitas técnicas, al Auditorio Fabio Lozano y Teatro Mayor Julio Mario Santo Domingo.</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Apoyo a la planeación técnica y el diseño conceptual con ambas productoras.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Solicitud de insumos gráficos a la OAC.</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También se realizaron las siguientes acciones, dirigidas a las comunicaciones del Concurso durante las rondas presenciales:</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Diseño de backing, banner, librillo del concurso,</w:t>
            </w:r>
            <w:r w:rsidDel="00000000" w:rsidR="00000000" w:rsidRPr="00000000">
              <w:rPr>
                <w:rFonts w:ascii="Arial" w:cs="Arial" w:eastAsia="Arial" w:hAnsi="Arial"/>
                <w:sz w:val="24"/>
                <w:szCs w:val="24"/>
                <w:rtl w:val="0"/>
              </w:rPr>
              <w:t xml:space="preserve"> y demás materiales.</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3. Entrega de </w:t>
            </w:r>
            <w:r w:rsidDel="00000000" w:rsidR="00000000" w:rsidRPr="00000000">
              <w:rPr>
                <w:rFonts w:ascii="Arial" w:cs="Arial" w:eastAsia="Arial" w:hAnsi="Arial"/>
                <w:sz w:val="24"/>
                <w:szCs w:val="24"/>
                <w:rtl w:val="0"/>
              </w:rPr>
              <w:t xml:space="preserve">documentos</w:t>
            </w:r>
            <w:r w:rsidDel="00000000" w:rsidR="00000000" w:rsidRPr="00000000">
              <w:rPr>
                <w:rFonts w:ascii="Arial" w:cs="Arial" w:eastAsia="Arial" w:hAnsi="Arial"/>
                <w:color w:val="000000"/>
                <w:sz w:val="24"/>
                <w:szCs w:val="24"/>
                <w:rtl w:val="0"/>
              </w:rPr>
              <w:t xml:space="preserve"> a participantes y jurados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Soportes: </w:t>
            </w:r>
            <w:hyperlink r:id="rId19">
              <w:r w:rsidDel="00000000" w:rsidR="00000000" w:rsidRPr="00000000">
                <w:rPr>
                  <w:rFonts w:ascii="Arial" w:cs="Arial" w:eastAsia="Arial" w:hAnsi="Arial"/>
                  <w:color w:val="0000ee"/>
                  <w:sz w:val="24"/>
                  <w:szCs w:val="24"/>
                  <w:u w:val="single"/>
                  <w:rtl w:val="0"/>
                </w:rPr>
                <w:t xml:space="preserve">COMUNICACIONES Y WEB</w:t>
              </w:r>
            </w:hyperlink>
            <w:r w:rsidDel="00000000" w:rsidR="00000000" w:rsidRPr="00000000">
              <w:rPr>
                <w:rtl w:val="0"/>
              </w:rPr>
            </w:r>
          </w:p>
        </w:tc>
      </w:tr>
    </w:tbl>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SEGUIMIENTO A LOS RIESGOS DE LA CONTRATACI</w:t>
      </w:r>
      <w:r w:rsidDel="00000000" w:rsidR="00000000" w:rsidRPr="00000000">
        <w:rPr>
          <w:rFonts w:ascii="Arial" w:cs="Arial" w:eastAsia="Arial" w:hAnsi="Arial"/>
          <w:b w:val="1"/>
          <w:bCs w:val="1"/>
          <w:sz w:val="24"/>
          <w:szCs w:val="24"/>
          <w:rtl w:val="0"/>
        </w:rPr>
        <w:t xml:space="preserve">Ó</w:t>
      </w:r>
      <w:r w:rsidDel="00000000" w:rsidR="00000000" w:rsidRPr="00000000">
        <w:rPr>
          <w:rFonts w:ascii="Arial" w:cs="Arial" w:eastAsia="Arial" w:hAnsi="Arial"/>
          <w:b w:val="1"/>
          <w:bCs w:val="1"/>
          <w:color w:val="000000"/>
          <w:sz w:val="24"/>
          <w:szCs w:val="24"/>
          <w:rtl w:val="0"/>
        </w:rPr>
        <w:t xml:space="preserve">N</w:t>
      </w:r>
    </w:p>
    <w:p w:rsidR="00000000" w:rsidDel="00000000" w:rsidP="00000000" w:rsidRDefault="00000000" w:rsidRPr="00000000" w14:paraId="000000D7">
      <w:pPr>
        <w:spacing w:after="0" w:before="184" w:line="240" w:lineRule="auto"/>
        <w:ind w:left="264" w:firstLine="0"/>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Conforme la matriz de riesgos definida el comité operativo no ha percibido la posible materialización de alguno de los riesgos, para el proceso de selección se procedió a efectuar el seguimiento de los mismos así:</w:t>
      </w:r>
      <w:r w:rsidDel="00000000" w:rsidR="00000000" w:rsidRPr="00000000">
        <w:rPr>
          <w:rtl w:val="0"/>
        </w:rPr>
      </w:r>
    </w:p>
    <w:p w:rsidR="00000000" w:rsidDel="00000000" w:rsidP="00000000" w:rsidRDefault="00000000" w:rsidRPr="00000000" w14:paraId="000000D8">
      <w:pPr>
        <w:numPr>
          <w:ilvl w:val="0"/>
          <w:numId w:val="2"/>
        </w:numPr>
        <w:spacing w:after="0" w:before="169" w:line="240" w:lineRule="auto"/>
        <w:ind w:left="624" w:right="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p>
    <w:p w:rsidR="00000000" w:rsidDel="00000000" w:rsidP="00000000" w:rsidRDefault="00000000" w:rsidRPr="00000000" w14:paraId="000000D9">
      <w:pPr>
        <w:numPr>
          <w:ilvl w:val="0"/>
          <w:numId w:val="2"/>
        </w:numPr>
        <w:spacing w:after="0" w:before="158" w:line="240" w:lineRule="auto"/>
        <w:ind w:left="624" w:right="3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p>
    <w:p w:rsidR="00000000" w:rsidDel="00000000" w:rsidP="00000000" w:rsidRDefault="00000000" w:rsidRPr="00000000" w14:paraId="000000DA">
      <w:pPr>
        <w:numPr>
          <w:ilvl w:val="0"/>
          <w:numId w:val="2"/>
        </w:numPr>
        <w:spacing w:after="0" w:before="158" w:line="240" w:lineRule="auto"/>
        <w:ind w:left="624" w:right="4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p>
    <w:p w:rsidR="00000000" w:rsidDel="00000000" w:rsidP="00000000" w:rsidRDefault="00000000" w:rsidRPr="00000000" w14:paraId="000000DB">
      <w:pPr>
        <w:numPr>
          <w:ilvl w:val="0"/>
          <w:numId w:val="2"/>
        </w:numPr>
        <w:spacing w:after="0" w:before="157" w:line="240" w:lineRule="auto"/>
        <w:ind w:left="624" w:right="3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p>
    <w:p w:rsidR="00000000" w:rsidDel="00000000" w:rsidP="00000000" w:rsidRDefault="00000000" w:rsidRPr="00000000" w14:paraId="000000DC">
      <w:pPr>
        <w:numPr>
          <w:ilvl w:val="0"/>
          <w:numId w:val="2"/>
        </w:numPr>
        <w:spacing w:after="0" w:before="163" w:line="240" w:lineRule="auto"/>
        <w:ind w:left="624" w:right="3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 de las condiciones sociales que pueden conllevar a demoras en el cumplimiento de las obligaciones del convenio o cancelación de los eventos. Se deben acordar las medidas con el Supervisor para implementar las acciones y las estrategias con el fin de que se ejecuten actividades exigidas.</w:t>
      </w:r>
    </w:p>
    <w:p w:rsidR="00000000" w:rsidDel="00000000" w:rsidP="00000000" w:rsidRDefault="00000000" w:rsidRPr="00000000" w14:paraId="000000DD">
      <w:pPr>
        <w:numPr>
          <w:ilvl w:val="0"/>
          <w:numId w:val="2"/>
        </w:numPr>
        <w:spacing w:after="0" w:before="157" w:line="240" w:lineRule="auto"/>
        <w:ind w:left="624" w:right="4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Alteraciones al orden público y condiciones climáticas que pueden llevar a demoras en el cumplimiento de las obligaciones del Convenio o cancelación de los eventos. Se deben acordar las medidas con el Supervisor para implementar las acciones y las estrategias con el fin de que se ejecuten actividades exigidas</w:t>
      </w:r>
    </w:p>
    <w:p w:rsidR="00000000" w:rsidDel="00000000" w:rsidP="00000000" w:rsidRDefault="00000000" w:rsidRPr="00000000" w14:paraId="000000DE">
      <w:pPr>
        <w:numPr>
          <w:ilvl w:val="0"/>
          <w:numId w:val="2"/>
        </w:numPr>
        <w:spacing w:after="0" w:before="165" w:line="240" w:lineRule="auto"/>
        <w:ind w:left="624" w:right="41"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Falla de equipos logísticos y/o de recurso humano a cargo del Asociado. Que conlleva a la afectación en la ejecución del proyecto, representado en demoras o no cumplimiento de los cronogramas. El Asociado deberá garantizar los requisitos mínimos logísticos y vincular durante toda la ejecución del proyecto al equipo de personal exigido garantizando su permanencia durante todo el proyecto</w:t>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GESTIÓN DOCUMENTAL</w:t>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revisó la documentación virtual del expediente contra la física estableciendo que los documentos y evidencias soportes del cumplimiento del contrato, concuerdan y por lo tanto los mismos están completos y son consistentes. </w:t>
      </w:r>
    </w:p>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INGRESO AL ALMACÉN:</w:t>
      </w:r>
      <w:r w:rsidDel="00000000" w:rsidR="00000000" w:rsidRPr="00000000">
        <w:rPr>
          <w:rFonts w:ascii="Arial" w:cs="Arial" w:eastAsia="Arial" w:hAnsi="Arial"/>
          <w:b w:val="1"/>
          <w:bCs w:val="1"/>
          <w:color w:val="000000"/>
          <w:sz w:val="24"/>
          <w:szCs w:val="24"/>
          <w:rtl w:val="0"/>
        </w:rPr>
        <w:t xml:space="preserve"> (CUANDO EL CONTRATO CONTENGA OBLIGACIONES DE SUMINISTRO O COMPRA DE BIENES SE DEBE INCLUIR LA SIGUIENTE CONSTANCIA, DE LO CONTRARIO ELIMINAR EL NUMERAL </w:t>
      </w:r>
      <w:r w:rsidDel="00000000" w:rsidR="00000000" w:rsidRPr="00000000">
        <w:rPr>
          <w:rtl w:val="0"/>
        </w:rPr>
      </w:r>
    </w:p>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aplica para este Convenio Interadministrativo</w:t>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E8">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COMITÉS TÉCNICOS U OPERATIVOS DEL CONTRATO (CUANDO EN EL</w:t>
      </w:r>
      <w:r w:rsidDel="00000000" w:rsidR="00000000" w:rsidRPr="00000000">
        <w:rPr>
          <w:rFonts w:ascii="Arial" w:cs="Arial" w:eastAsia="Arial" w:hAnsi="Arial"/>
          <w:color w:val="000000"/>
          <w:sz w:val="24"/>
          <w:szCs w:val="24"/>
          <w:rtl w:val="0"/>
        </w:rPr>
        <w:t xml:space="preserve"> CONTRATO/CONVENIO SE CONFORME UN COMITÉ, SE DEBE INCLUIR ESTE NUMERAL, DE LO CONTRARIO ELIMINARLO)</w:t>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han efectuado los comités establecidos en el contrato así: </w:t>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tl w:val="0"/>
        </w:rPr>
      </w:r>
    </w:p>
    <w:tbl>
      <w:tblPr>
        <w:tblStyle w:val="Table15"/>
        <w:tblW w:w="9960.0" w:type="dxa"/>
        <w:jc w:val="center"/>
        <w:tblLayout w:type="fixed"/>
        <w:tblLook w:val="0400"/>
      </w:tblPr>
      <w:tblGrid>
        <w:gridCol w:w="5160"/>
        <w:gridCol w:w="1545"/>
        <w:gridCol w:w="3255"/>
        <w:tblGridChange w:id="0">
          <w:tblGrid>
            <w:gridCol w:w="5160"/>
            <w:gridCol w:w="1545"/>
            <w:gridCol w:w="3255"/>
          </w:tblGrid>
        </w:tblGridChange>
      </w:tblGrid>
      <w:tr>
        <w:trPr>
          <w:cantSplit w:val="0"/>
          <w:trHeight w:val="32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spacing w:after="0" w:line="240" w:lineRule="auto"/>
              <w:ind w:left="371" w:right="126" w:firstLine="206"/>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ACTAS DE COMITÉS TÉCNICOS OPERATIVOS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spacing w:after="0" w:before="2" w:line="240" w:lineRule="auto"/>
              <w:ind w:left="335" w:right="283" w:firstLine="5"/>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FECHA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spacing w:after="0" w:before="2" w:line="240" w:lineRule="auto"/>
              <w:ind w:left="335" w:right="283" w:firstLine="5"/>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NÚMERO DE RADICACIÓN</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06/12/2024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20251000272083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22/01/2025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20251000230393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19/03/2025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20251000230453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ASINCRÓNICO No.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28/03/2025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20251000230533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12/06/2025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20251000371203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ASINCRÓNICO No.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13/06/2025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20251000369733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01/07/2025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20251000361893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4">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28/08/2025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20251000486443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25/09/2025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20251000581113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spacing w:after="0" w:before="2" w:line="240" w:lineRule="auto"/>
              <w:ind w:left="139" w:right="126"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COMITÉ TÉCNICO OPERATIVO No. 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spacing w:after="0" w:line="240" w:lineRule="auto"/>
              <w:ind w:left="155"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31/10/2025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spacing w:after="0" w:line="240" w:lineRule="auto"/>
              <w:ind w:left="155"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20251000686313</w:t>
            </w:r>
          </w:p>
        </w:tc>
      </w:tr>
    </w:tbl>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E">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COMITÉS DE OBRA DEL CONTRATO </w:t>
      </w:r>
      <w:r w:rsidDel="00000000" w:rsidR="00000000" w:rsidRPr="00000000">
        <w:rPr>
          <w:rFonts w:ascii="Arial" w:cs="Arial" w:eastAsia="Arial" w:hAnsi="Arial"/>
          <w:color w:val="000000"/>
          <w:sz w:val="24"/>
          <w:szCs w:val="24"/>
          <w:rtl w:val="0"/>
        </w:rPr>
        <w:t xml:space="preserve">(CUANDO EL CONTRATO SEA DE OBRA, SE DEBE INCLUIR ESTE NUMERAL, DE LO CONTRARIO ELIMINARLO)</w:t>
      </w:r>
      <w:r w:rsidDel="00000000" w:rsidR="00000000" w:rsidRPr="00000000">
        <w:rPr>
          <w:rtl w:val="0"/>
        </w:rPr>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8"/>
          <w:szCs w:val="28"/>
        </w:rPr>
      </w:pPr>
      <w:r w:rsidDel="00000000" w:rsidR="00000000" w:rsidRPr="00000000">
        <w:rPr>
          <w:rFonts w:ascii="Arial" w:cs="Arial" w:eastAsia="Arial" w:hAnsi="Arial"/>
          <w:color w:val="000000"/>
          <w:sz w:val="24"/>
          <w:szCs w:val="24"/>
          <w:rtl w:val="0"/>
        </w:rPr>
        <w:t xml:space="preserve">No aplica para este Convenio Interadministrativo.</w:t>
      </w:r>
      <w:r w:rsidDel="00000000" w:rsidR="00000000" w:rsidRPr="00000000">
        <w:rPr>
          <w:rtl w:val="0"/>
        </w:rPr>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2">
      <w:pPr>
        <w:numPr>
          <w:ilvl w:val="0"/>
          <w:numId w:val="1"/>
        </w:numPr>
        <w:pBdr>
          <w:top w:space="0" w:sz="0" w:val="nil"/>
          <w:left w:space="0" w:sz="0" w:val="nil"/>
          <w:bottom w:space="0" w:sz="0" w:val="nil"/>
          <w:right w:space="0" w:sz="0" w:val="nil"/>
          <w:between w:space="0" w:sz="0" w:val="nil"/>
        </w:pBdr>
        <w:ind w:left="360"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CONCLUSIONES </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40" w:lineRule="auto"/>
        <w:ind w:right="3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Una vez analizados los soportes presentados por el contratista, la supervisión certifica el cumplimiento por parte de la Asociación Nacional de Música Sinfónica del objeto y de cada una de las obligaciones previstas en el Convenio de Asociación No. 768 de 2024.</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80" w:before="280" w:line="240" w:lineRule="auto"/>
        <w:ind w:right="3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Asimismo, esta supervisión deja constancia de la verificación del cumplimiento por parte del contratista del pago de sus obligaciones parafiscales, estableciendo una correcta relación entre el monto cancelado y las sumas que debieron haber sido cotizadas, durante el periodo que se certifica.</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80" w:before="280" w:line="240" w:lineRule="auto"/>
        <w:ind w:right="3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Certifico que he verificado la completitud en la publicación de los documentos a los cuales hace referencia la Directiva No. 001 de 2025 de la Secretaría Jurídica Distrital o la que la adicione, modifique o haga sus veces en la plataforma SECOP II y en la misma se encuentra publicada toda la información y documentos soporte del contrato y su ejecución, hasta la fecha en la que se verifica y rinde el presente informe.</w:t>
      </w:r>
    </w:p>
    <w:p w:rsidR="00000000" w:rsidDel="00000000" w:rsidP="00000000" w:rsidRDefault="00000000" w:rsidRPr="00000000" w14:paraId="000001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w:t>
      </w:r>
    </w:p>
    <w:p w:rsidR="00000000" w:rsidDel="00000000" w:rsidP="00000000" w:rsidRDefault="00000000" w:rsidRPr="00000000" w14:paraId="0000011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Nombre: NATALIA SEFAIR LÓPEZ</w:t>
      </w:r>
    </w:p>
    <w:p w:rsidR="00000000" w:rsidDel="00000000" w:rsidP="00000000" w:rsidRDefault="00000000" w:rsidRPr="00000000" w14:paraId="0000011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Fecha de expedición: 31/10/2025</w:t>
      </w:r>
    </w:p>
    <w:p w:rsidR="00000000" w:rsidDel="00000000" w:rsidP="00000000" w:rsidRDefault="00000000" w:rsidRPr="00000000" w14:paraId="0000011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Radicado(s) sobre designación de supervisión.</w:t>
      </w:r>
    </w:p>
    <w:p w:rsidR="00000000" w:rsidDel="00000000" w:rsidP="00000000" w:rsidRDefault="00000000" w:rsidRPr="00000000" w14:paraId="0000011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20242000508353. </w:t>
      </w:r>
    </w:p>
    <w:p w:rsidR="00000000" w:rsidDel="00000000" w:rsidP="00000000" w:rsidRDefault="00000000" w:rsidRPr="00000000" w14:paraId="0000011C">
      <w:pPr>
        <w:spacing w:after="240" w:befor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Nota 1: Este formato no aplica para el trámite de desembolso de los contratos de prestación de servicios y apoyo a la gestión suscritos con persona natural, en la medida que el mismo es surtido a través de Cultured.</w:t>
      </w:r>
    </w:p>
    <w:p w:rsidR="00000000" w:rsidDel="00000000" w:rsidP="00000000" w:rsidRDefault="00000000" w:rsidRPr="00000000" w14:paraId="0000011D">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Nota 2: De conformidad con lo dispuesto en los artículos 83 y 84 de la Ley 1474 de 2011 es responsabilidad de cada supervisor la integridad, completitud y veracidad de la información consignada en los informes de ejecución del contrato o su aval, con base en la cual el ordenador del gasto aprueba el pago en el sistema dispuesto para tal fin.</w:t>
      </w:r>
    </w:p>
    <w:sectPr>
      <w:headerReference r:id="rId20" w:type="default"/>
      <w:headerReference r:id="rId21" w:type="first"/>
      <w:headerReference r:id="rId22" w:type="even"/>
      <w:footerReference r:id="rId23" w:type="default"/>
      <w:footerReference r:id="rId24" w:type="first"/>
      <w:footerReference r:id="rId25" w:type="even"/>
      <w:pgSz w:h="15840" w:w="12240"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after="0" w:line="276" w:lineRule="auto"/>
      <w:rPr>
        <w:color w:val="ff0000"/>
      </w:rPr>
    </w:pPr>
    <w:r w:rsidDel="00000000" w:rsidR="00000000" w:rsidRPr="00000000">
      <w:rPr>
        <w:rtl w:val="0"/>
      </w:rPr>
    </w:r>
  </w:p>
  <w:tbl>
    <w:tblPr>
      <w:tblStyle w:val="Table16"/>
      <w:tblW w:w="10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24"/>
      <w:gridCol w:w="5303"/>
      <w:gridCol w:w="2835"/>
      <w:tblGridChange w:id="0">
        <w:tblGrid>
          <w:gridCol w:w="1924"/>
          <w:gridCol w:w="5303"/>
          <w:gridCol w:w="2835"/>
        </w:tblGrid>
      </w:tblGridChange>
    </w:tblGrid>
    <w:tr>
      <w:trPr>
        <w:cantSplit w:val="0"/>
        <w:trHeight w:val="366" w:hRule="atLeast"/>
        <w:tblHeader w:val="0"/>
      </w:trPr>
      <w:tc>
        <w:tcPr>
          <w:vMerge w:val="restart"/>
        </w:tcPr>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273685</wp:posOffset>
                </wp:positionH>
                <wp:positionV relativeFrom="paragraph">
                  <wp:posOffset>245110</wp:posOffset>
                </wp:positionV>
                <wp:extent cx="641350" cy="685800"/>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1350" cy="685800"/>
                        </a:xfrm>
                        <a:prstGeom prst="rect"/>
                        <a:ln/>
                      </pic:spPr>
                    </pic:pic>
                  </a:graphicData>
                </a:graphic>
              </wp:anchor>
            </w:drawing>
          </w:r>
        </w:p>
      </w:tc>
      <w:tc>
        <w:tcPr>
          <w:vMerge w:val="restart"/>
          <w:vAlign w:val="center"/>
        </w:tcPr>
        <w:p w:rsidR="00000000" w:rsidDel="00000000" w:rsidP="00000000" w:rsidRDefault="00000000" w:rsidRPr="00000000" w14:paraId="0000012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GESTIÓN CONTRACTUAL</w:t>
          </w:r>
        </w:p>
      </w:tc>
      <w:tc>
        <w:tcPr/>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16"/>
              <w:szCs w:val="16"/>
              <w:rtl w:val="0"/>
            </w:rPr>
            <w:t xml:space="preserve">CÓDIGO: </w:t>
          </w:r>
          <w:r w:rsidDel="00000000" w:rsidR="00000000" w:rsidRPr="00000000">
            <w:rPr>
              <w:rFonts w:ascii="Arial" w:cs="Arial" w:eastAsia="Arial" w:hAnsi="Arial"/>
              <w:color w:val="000000"/>
              <w:sz w:val="18"/>
              <w:szCs w:val="18"/>
              <w:rtl w:val="0"/>
            </w:rPr>
            <w:t xml:space="preserve">CON-PR-02-FR-01</w:t>
          </w: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rHeight w:val="282" w:hRule="atLeast"/>
        <w:tblHeader w:val="0"/>
      </w:trPr>
      <w:tc>
        <w:tcPr>
          <w:vMerge w:val="continue"/>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2</w:t>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restart"/>
          <w:vAlign w:val="center"/>
        </w:tcPr>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Arial" w:cs="Arial" w:eastAsia="Arial" w:hAnsi="Arial"/>
              <w:b w:val="1"/>
              <w:bCs w:val="1"/>
              <w:color w:val="000000"/>
              <w:sz w:val="24"/>
              <w:szCs w:val="24"/>
              <w:rtl w:val="0"/>
            </w:rPr>
            <w:t xml:space="preserve">INFORME DE SUPERVISIÓN</w:t>
          </w:r>
          <w:r w:rsidDel="00000000" w:rsidR="00000000" w:rsidRPr="00000000">
            <w:rPr>
              <w:rtl w:val="0"/>
            </w:rPr>
          </w:r>
        </w:p>
      </w:tc>
      <w:tc>
        <w:tcPr/>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FECHA: </w:t>
          </w:r>
          <w:r w:rsidDel="00000000" w:rsidR="00000000" w:rsidRPr="00000000">
            <w:rPr>
              <w:rFonts w:ascii="Arial" w:cs="Arial" w:eastAsia="Arial" w:hAnsi="Arial"/>
              <w:sz w:val="16"/>
              <w:szCs w:val="16"/>
              <w:rtl w:val="0"/>
            </w:rPr>
            <w:t xml:space="preserve">10</w:t>
          </w:r>
          <w:r w:rsidDel="00000000" w:rsidR="00000000" w:rsidRPr="00000000">
            <w:rPr>
              <w:rFonts w:ascii="Arial" w:cs="Arial" w:eastAsia="Arial" w:hAnsi="Arial"/>
              <w:color w:val="000000"/>
              <w:sz w:val="16"/>
              <w:szCs w:val="16"/>
              <w:rtl w:val="0"/>
            </w:rPr>
            <w:t xml:space="preserve">/</w:t>
          </w:r>
          <w:r w:rsidDel="00000000" w:rsidR="00000000" w:rsidRPr="00000000">
            <w:rPr>
              <w:rFonts w:ascii="Arial" w:cs="Arial" w:eastAsia="Arial" w:hAnsi="Arial"/>
              <w:sz w:val="16"/>
              <w:szCs w:val="16"/>
              <w:rtl w:val="0"/>
            </w:rPr>
            <w:t xml:space="preserve">10</w:t>
          </w:r>
          <w:r w:rsidDel="00000000" w:rsidR="00000000" w:rsidRPr="00000000">
            <w:rPr>
              <w:rFonts w:ascii="Arial" w:cs="Arial" w:eastAsia="Arial" w:hAnsi="Arial"/>
              <w:color w:val="000000"/>
              <w:sz w:val="16"/>
              <w:szCs w:val="16"/>
              <w:rtl w:val="0"/>
            </w:rPr>
            <w:t xml:space="preserve">/202</w:t>
          </w:r>
          <w:r w:rsidDel="00000000" w:rsidR="00000000" w:rsidRPr="00000000">
            <w:rPr>
              <w:rFonts w:ascii="Arial" w:cs="Arial" w:eastAsia="Arial" w:hAnsi="Arial"/>
              <w:sz w:val="16"/>
              <w:szCs w:val="16"/>
              <w:rtl w:val="0"/>
            </w:rPr>
            <w:t xml:space="preserve">5</w:t>
          </w:r>
          <w:r w:rsidDel="00000000" w:rsidR="00000000" w:rsidRPr="00000000">
            <w:rPr>
              <w:rtl w:val="0"/>
            </w:rPr>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rHeight w:val="380" w:hRule="atLeast"/>
        <w:tblHeader w:val="0"/>
      </w:trPr>
      <w:tc>
        <w:tcPr>
          <w:vMerge w:val="continue"/>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8"/>
              <w:szCs w:val="18"/>
              <w:rtl w:val="0"/>
            </w:rPr>
            <w:t xml:space="preserve">Página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000000"/>
              <w:sz w:val="18"/>
              <w:szCs w:val="18"/>
              <w:rtl w:val="0"/>
            </w:rPr>
            <w:t xml:space="preserve"> de </w:t>
          </w:r>
          <w:r w:rsidDel="00000000" w:rsidR="00000000" w:rsidRPr="00000000">
            <w:rPr>
              <w:rFonts w:ascii="Arial" w:cs="Arial" w:eastAsia="Arial" w:hAnsi="Arial"/>
              <w:color w:val="000000"/>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character" w:styleId="EncabezadoCar" w:customStyle="1">
    <w:name w:val="Encabezado Car"/>
    <w:basedOn w:val="Fuentedeprrafopredeter"/>
    <w:link w:val="Encabezado"/>
    <w:uiPriority w:val="99"/>
    <w:qFormat w:val="1"/>
    <w:rsid w:val="000F4EB2"/>
  </w:style>
  <w:style w:type="character" w:styleId="PiedepginaCar" w:customStyle="1">
    <w:name w:val="Pie de página Car"/>
    <w:basedOn w:val="Fuentedeprrafopredeter"/>
    <w:link w:val="Piedepgina"/>
    <w:uiPriority w:val="99"/>
    <w:qFormat w:val="1"/>
    <w:rsid w:val="000F4EB2"/>
  </w:style>
  <w:style w:type="paragraph" w:styleId="Textoindependiente">
    <w:name w:val="Body Text"/>
    <w:basedOn w:val="Normal"/>
    <w:pPr>
      <w:spacing w:after="140" w:line="276" w:lineRule="auto"/>
    </w:pPr>
  </w:style>
  <w:style w:type="paragraph" w:styleId="Lista">
    <w:name w:val="List"/>
    <w:basedOn w:val="Textoindependiente"/>
    <w:rPr>
      <w:rFonts w:cs="Lucida Sans"/>
    </w:rPr>
  </w:style>
  <w:style w:type="paragraph" w:styleId="Descripcin">
    <w:name w:val="caption"/>
    <w:basedOn w:val="Normal"/>
    <w:qFormat w:val="1"/>
    <w:pPr>
      <w:suppressLineNumbers w:val="1"/>
      <w:spacing w:after="120" w:before="120"/>
    </w:pPr>
    <w:rPr>
      <w:rFonts w:cs="Lucida Sans"/>
      <w:i w:val="1"/>
      <w:iCs w:val="1"/>
      <w:sz w:val="24"/>
      <w:szCs w:val="24"/>
    </w:rPr>
  </w:style>
  <w:style w:type="paragraph" w:styleId="ndice" w:customStyle="1">
    <w:name w:val="Índice"/>
    <w:basedOn w:val="Normal"/>
    <w:qFormat w:val="1"/>
    <w:pPr>
      <w:suppressLineNumbers w:val="1"/>
    </w:pPr>
    <w:rPr>
      <w:rFonts w:cs="Lucida Sans"/>
    </w:rPr>
  </w:style>
  <w:style w:type="paragraph" w:styleId="Prrafodelista">
    <w:name w:val="List Paragraph"/>
    <w:basedOn w:val="Normal"/>
    <w:uiPriority w:val="34"/>
    <w:qFormat w:val="1"/>
    <w:rsid w:val="00E6118A"/>
    <w:pPr>
      <w:ind w:left="720"/>
      <w:contextualSpacing w:val="1"/>
    </w:pPr>
  </w:style>
  <w:style w:type="paragraph" w:styleId="Textbody" w:customStyle="1">
    <w:name w:val="Text body"/>
    <w:basedOn w:val="Normal"/>
    <w:qFormat w:val="1"/>
    <w:rsid w:val="00A2659D"/>
    <w:pPr>
      <w:widowControl w:val="0"/>
      <w:suppressAutoHyphens w:val="1"/>
      <w:spacing w:after="140" w:line="288" w:lineRule="auto"/>
    </w:pPr>
    <w:rPr>
      <w:rFonts w:ascii="Times New Roman" w:cs="Times New Roman" w:eastAsia="Times New Roman" w:hAnsi="Times New Roman"/>
      <w:kern w:val="2"/>
      <w:sz w:val="20"/>
      <w:szCs w:val="20"/>
      <w:lang w:bidi="es-ES" w:eastAsia="es-ES" w:val="es-ES"/>
    </w:rPr>
  </w:style>
  <w:style w:type="paragraph" w:styleId="Cabeceraypie" w:customStyle="1">
    <w:name w:val="Cabecera y pie"/>
    <w:basedOn w:val="Normal"/>
    <w:qFormat w:val="1"/>
  </w:style>
  <w:style w:type="paragraph" w:styleId="Encabezado">
    <w:name w:val="header"/>
    <w:basedOn w:val="Normal"/>
    <w:link w:val="EncabezadoCar"/>
    <w:uiPriority w:val="99"/>
    <w:unhideWhenUsed w:val="1"/>
    <w:rsid w:val="000F4EB2"/>
    <w:pPr>
      <w:tabs>
        <w:tab w:val="center" w:pos="4252"/>
        <w:tab w:val="right" w:pos="8504"/>
      </w:tabs>
      <w:spacing w:after="0" w:line="240" w:lineRule="auto"/>
    </w:pPr>
  </w:style>
  <w:style w:type="paragraph" w:styleId="Piedepgina">
    <w:name w:val="footer"/>
    <w:basedOn w:val="Normal"/>
    <w:link w:val="PiedepginaCar"/>
    <w:uiPriority w:val="99"/>
    <w:unhideWhenUsed w:val="1"/>
    <w:rsid w:val="000F4EB2"/>
    <w:pPr>
      <w:tabs>
        <w:tab w:val="center" w:pos="4252"/>
        <w:tab w:val="right" w:pos="8504"/>
      </w:tabs>
      <w:spacing w:after="0" w:line="240" w:lineRule="auto"/>
    </w:pPr>
  </w:style>
  <w:style w:type="paragraph" w:styleId="Contenidodelatabla" w:customStyle="1">
    <w:name w:val="Contenido de la tabla"/>
    <w:basedOn w:val="Normal"/>
    <w:qFormat w:val="1"/>
    <w:rsid w:val="000F4EB2"/>
    <w:pPr>
      <w:widowControl w:val="0"/>
      <w:suppressLineNumbers w:val="1"/>
      <w:suppressAutoHyphens w:val="1"/>
      <w:spacing w:after="0" w:line="240" w:lineRule="auto"/>
      <w:textAlignment w:val="baseline"/>
    </w:pPr>
    <w:rPr>
      <w:rFonts w:ascii="Times New Roman" w:cs="Mangal" w:eastAsia="DejaVu Sans" w:hAnsi="Times New Roman"/>
      <w:kern w:val="2"/>
      <w:sz w:val="24"/>
      <w:szCs w:val="24"/>
      <w:lang w:bidi="hi-IN" w:eastAsia="zh-CN"/>
    </w:rPr>
  </w:style>
  <w:style w:type="table" w:styleId="Tablaconcuadrcula">
    <w:name w:val="Table Grid"/>
    <w:basedOn w:val="Tablanormal"/>
    <w:uiPriority w:val="39"/>
    <w:rsid w:val="00E6118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comentario">
    <w:name w:val="annotation reference"/>
    <w:basedOn w:val="Fuentedeprrafopredeter"/>
    <w:uiPriority w:val="99"/>
    <w:semiHidden w:val="1"/>
    <w:unhideWhenUsed w:val="1"/>
    <w:rsid w:val="00081B36"/>
    <w:rPr>
      <w:sz w:val="16"/>
      <w:szCs w:val="16"/>
    </w:rPr>
  </w:style>
  <w:style w:type="paragraph" w:styleId="Textocomentario">
    <w:name w:val="annotation text"/>
    <w:basedOn w:val="Normal"/>
    <w:link w:val="TextocomentarioCar"/>
    <w:uiPriority w:val="99"/>
    <w:unhideWhenUsed w:val="1"/>
    <w:rsid w:val="00081B36"/>
    <w:pPr>
      <w:spacing w:line="240" w:lineRule="auto"/>
    </w:pPr>
    <w:rPr>
      <w:sz w:val="20"/>
      <w:szCs w:val="20"/>
    </w:rPr>
  </w:style>
  <w:style w:type="character" w:styleId="TextocomentarioCar" w:customStyle="1">
    <w:name w:val="Texto comentario Car"/>
    <w:basedOn w:val="Fuentedeprrafopredeter"/>
    <w:link w:val="Textocomentario"/>
    <w:uiPriority w:val="99"/>
    <w:rsid w:val="00081B36"/>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081B36"/>
    <w:rPr>
      <w:b w:val="1"/>
      <w:bCs w:val="1"/>
    </w:rPr>
  </w:style>
  <w:style w:type="character" w:styleId="AsuntodelcomentarioCar" w:customStyle="1">
    <w:name w:val="Asunto del comentario Car"/>
    <w:basedOn w:val="TextocomentarioCar"/>
    <w:link w:val="Asuntodelcomentario"/>
    <w:uiPriority w:val="99"/>
    <w:semiHidden w:val="1"/>
    <w:rsid w:val="00081B36"/>
    <w:rPr>
      <w:b w:val="1"/>
      <w:bCs w:val="1"/>
      <w:sz w:val="20"/>
      <w:szCs w:val="20"/>
    </w:rPr>
  </w:style>
  <w:style w:type="table" w:styleId="a" w:customStyle="1">
    <w:basedOn w:val="TableNormal0"/>
    <w:tblPr>
      <w:tblStyleRowBandSize w:val="1"/>
      <w:tblStyleColBandSize w:val="1"/>
      <w:tblCellMar>
        <w:top w:w="0.0" w:type="dxa"/>
        <w:left w:w="108.0" w:type="dxa"/>
        <w:bottom w:w="0.0" w:type="dxa"/>
        <w:right w:w="108.0" w:type="dxa"/>
      </w:tblCellMar>
    </w:tblPr>
  </w:style>
  <w:style w:type="table" w:styleId="a0" w:customStyle="1">
    <w:basedOn w:val="TableNormal0"/>
    <w:tblPr>
      <w:tblStyleRowBandSize w:val="1"/>
      <w:tblStyleColBandSize w:val="1"/>
      <w:tblCellMar>
        <w:top w:w="0.0" w:type="dxa"/>
        <w:left w:w="108.0" w:type="dxa"/>
        <w:bottom w:w="0.0" w:type="dxa"/>
        <w:right w:w="108.0" w:type="dxa"/>
      </w:tblCellMar>
    </w:tblPr>
  </w:style>
  <w:style w:type="table" w:styleId="a1" w:customStyle="1">
    <w:basedOn w:val="TableNormal0"/>
    <w:tblPr>
      <w:tblStyleRowBandSize w:val="1"/>
      <w:tblStyleColBandSize w:val="1"/>
      <w:tblCellMar>
        <w:top w:w="0.0" w:type="dxa"/>
        <w:left w:w="108.0" w:type="dxa"/>
        <w:bottom w:w="0.0" w:type="dxa"/>
        <w:right w:w="108.0" w:type="dxa"/>
      </w:tblCellMar>
    </w:tblPr>
  </w:style>
  <w:style w:type="table" w:styleId="a2" w:customStyle="1">
    <w:basedOn w:val="TableNormal0"/>
    <w:tblPr>
      <w:tblStyleRowBandSize w:val="1"/>
      <w:tblStyleColBandSize w:val="1"/>
      <w:tblCellMar>
        <w:top w:w="0.0" w:type="dxa"/>
        <w:left w:w="108.0" w:type="dxa"/>
        <w:bottom w:w="0.0" w:type="dxa"/>
        <w:right w:w="108.0" w:type="dxa"/>
      </w:tblCellMar>
    </w:tblPr>
  </w:style>
  <w:style w:type="table" w:styleId="a3" w:customStyle="1">
    <w:basedOn w:val="TableNormal0"/>
    <w:tblPr>
      <w:tblStyleRowBandSize w:val="1"/>
      <w:tblStyleColBandSize w:val="1"/>
      <w:tblCellMar>
        <w:top w:w="0.0" w:type="dxa"/>
        <w:left w:w="108.0" w:type="dxa"/>
        <w:bottom w:w="0.0" w:type="dxa"/>
        <w:right w:w="108.0" w:type="dxa"/>
      </w:tblCellMar>
    </w:tblPr>
  </w:style>
  <w:style w:type="table" w:styleId="a4" w:customStyle="1">
    <w:basedOn w:val="TableNormal0"/>
    <w:tblPr>
      <w:tblStyleRowBandSize w:val="1"/>
      <w:tblStyleColBandSize w:val="1"/>
      <w:tblCellMar>
        <w:top w:w="0.0" w:type="dxa"/>
        <w:left w:w="108.0" w:type="dxa"/>
        <w:bottom w:w="0.0" w:type="dxa"/>
        <w:right w:w="108.0" w:type="dxa"/>
      </w:tblCellMar>
    </w:tblPr>
  </w:style>
  <w:style w:type="table" w:styleId="a5" w:customStyle="1">
    <w:basedOn w:val="TableNormal0"/>
    <w:tblPr>
      <w:tblStyleRowBandSize w:val="1"/>
      <w:tblStyleColBandSize w:val="1"/>
      <w:tblCellMar>
        <w:top w:w="55.0" w:type="dxa"/>
        <w:left w:w="55.0" w:type="dxa"/>
        <w:bottom w:w="55.0" w:type="dxa"/>
        <w:right w:w="55.0" w:type="dxa"/>
      </w:tblCellMar>
    </w:tblPr>
  </w:style>
  <w:style w:type="paragraph" w:styleId="NormalWeb">
    <w:name w:val="Normal (Web)"/>
    <w:basedOn w:val="Normal"/>
    <w:uiPriority w:val="99"/>
    <w:unhideWhenUsed w:val="1"/>
    <w:rsid w:val="00CF7D94"/>
    <w:pPr>
      <w:spacing w:after="100" w:afterAutospacing="1" w:before="100" w:beforeAutospacing="1" w:line="240" w:lineRule="auto"/>
    </w:pPr>
    <w:rPr>
      <w:rFonts w:ascii="Times New Roman" w:cs="Times New Roman" w:eastAsia="Times New Roman" w:hAnsi="Times New Roman"/>
      <w:sz w:val="24"/>
      <w:szCs w:val="24"/>
    </w:rPr>
  </w:style>
  <w:style w:type="character" w:styleId="Hipervnculo">
    <w:name w:val="Hyperlink"/>
    <w:basedOn w:val="Fuentedeprrafopredeter"/>
    <w:uiPriority w:val="99"/>
    <w:unhideWhenUsed w:val="1"/>
    <w:rsid w:val="00CF7D94"/>
    <w:rPr>
      <w:color w:val="0000ff"/>
      <w:u w:val="single"/>
    </w:rPr>
  </w:style>
  <w:style w:type="table" w:styleId="a6" w:customStyle="1">
    <w:basedOn w:val="TableNormal0"/>
    <w:tblPr>
      <w:tblStyleRowBandSize w:val="1"/>
      <w:tblStyleColBandSize w:val="1"/>
      <w:tblCellMar>
        <w:top w:w="0.0" w:type="dxa"/>
        <w:left w:w="108.0" w:type="dxa"/>
        <w:bottom w:w="0.0" w:type="dxa"/>
        <w:right w:w="108.0" w:type="dxa"/>
      </w:tblCellMar>
    </w:tblPr>
  </w:style>
  <w:style w:type="table" w:styleId="a7" w:customStyle="1">
    <w:basedOn w:val="TableNormal0"/>
    <w:tblPr>
      <w:tblStyleRowBandSize w:val="1"/>
      <w:tblStyleColBandSize w:val="1"/>
      <w:tblCellMar>
        <w:top w:w="0.0" w:type="dxa"/>
        <w:left w:w="108.0" w:type="dxa"/>
        <w:bottom w:w="0.0" w:type="dxa"/>
        <w:right w:w="108.0" w:type="dxa"/>
      </w:tblCellMar>
    </w:tblPr>
  </w:style>
  <w:style w:type="table" w:styleId="a8" w:customStyle="1">
    <w:basedOn w:val="TableNormal0"/>
    <w:tblPr>
      <w:tblStyleRowBandSize w:val="1"/>
      <w:tblStyleColBandSize w:val="1"/>
      <w:tblCellMar>
        <w:top w:w="0.0" w:type="dxa"/>
        <w:left w:w="108.0" w:type="dxa"/>
        <w:bottom w:w="0.0" w:type="dxa"/>
        <w:right w:w="108.0" w:type="dxa"/>
      </w:tblCellMar>
    </w:tblPr>
  </w:style>
  <w:style w:type="table" w:styleId="a9" w:customStyle="1">
    <w:basedOn w:val="TableNormal0"/>
    <w:tblPr>
      <w:tblStyleRowBandSize w:val="1"/>
      <w:tblStyleColBandSize w:val="1"/>
      <w:tblCellMar>
        <w:top w:w="0.0" w:type="dxa"/>
        <w:left w:w="108.0" w:type="dxa"/>
        <w:bottom w:w="0.0" w:type="dxa"/>
        <w:right w:w="108.0" w:type="dxa"/>
      </w:tblCellMar>
    </w:tblPr>
  </w:style>
  <w:style w:type="table" w:styleId="aa" w:customStyle="1">
    <w:basedOn w:val="TableNormal0"/>
    <w:tblPr>
      <w:tblStyleRowBandSize w:val="1"/>
      <w:tblStyleColBandSize w:val="1"/>
      <w:tblCellMar>
        <w:top w:w="0.0" w:type="dxa"/>
        <w:left w:w="108.0" w:type="dxa"/>
        <w:bottom w:w="0.0" w:type="dxa"/>
        <w:right w:w="108.0" w:type="dxa"/>
      </w:tblCellMar>
    </w:tblPr>
  </w:style>
  <w:style w:type="table" w:styleId="ab" w:customStyle="1">
    <w:basedOn w:val="TableNormal0"/>
    <w:tblPr>
      <w:tblStyleRowBandSize w:val="1"/>
      <w:tblStyleColBandSize w:val="1"/>
      <w:tblCellMar>
        <w:top w:w="0.0" w:type="dxa"/>
        <w:left w:w="108.0" w:type="dxa"/>
        <w:bottom w:w="0.0" w:type="dxa"/>
        <w:right w:w="108.0" w:type="dxa"/>
      </w:tblCellMar>
    </w:tblPr>
  </w:style>
  <w:style w:type="table" w:styleId="ac" w:customStyle="1">
    <w:basedOn w:val="TableNormal0"/>
    <w:tblPr>
      <w:tblStyleRowBandSize w:val="1"/>
      <w:tblStyleColBandSize w:val="1"/>
      <w:tblCellMar>
        <w:top w:w="0.0" w:type="dxa"/>
        <w:left w:w="108.0" w:type="dxa"/>
        <w:bottom w:w="0.0" w:type="dxa"/>
        <w:right w:w="108.0" w:type="dxa"/>
      </w:tblCellMar>
    </w:tblPr>
  </w:style>
  <w:style w:type="table" w:styleId="ad" w:customStyle="1">
    <w:basedOn w:val="TableNormal0"/>
    <w:tblPr>
      <w:tblStyleRowBandSize w:val="1"/>
      <w:tblStyleColBandSize w:val="1"/>
      <w:tblCellMar>
        <w:top w:w="0.0" w:type="dxa"/>
        <w:left w:w="108.0" w:type="dxa"/>
        <w:bottom w:w="0.0" w:type="dxa"/>
        <w:right w:w="108.0" w:type="dxa"/>
      </w:tblCellMar>
    </w:tblPr>
  </w:style>
  <w:style w:type="table" w:styleId="ae" w:customStyle="1">
    <w:basedOn w:val="TableNormal0"/>
    <w:tblPr>
      <w:tblStyleRowBandSize w:val="1"/>
      <w:tblStyleColBandSize w:val="1"/>
      <w:tblCellMar>
        <w:top w:w="0.0" w:type="dxa"/>
        <w:left w:w="108.0" w:type="dxa"/>
        <w:bottom w:w="0.0" w:type="dxa"/>
        <w:right w:w="108.0" w:type="dxa"/>
      </w:tblCellMar>
    </w:tblPr>
  </w:style>
  <w:style w:type="table" w:styleId="af" w:customStyle="1">
    <w:basedOn w:val="TableNormal0"/>
    <w:tblPr>
      <w:tblStyleRowBandSize w:val="1"/>
      <w:tblStyleColBandSize w:val="1"/>
      <w:tblCellMar>
        <w:top w:w="0.0" w:type="dxa"/>
        <w:left w:w="108.0" w:type="dxa"/>
        <w:bottom w:w="0.0" w:type="dxa"/>
        <w:right w:w="108.0" w:type="dxa"/>
      </w:tblCellMar>
    </w:tblPr>
  </w:style>
  <w:style w:type="table" w:styleId="af0" w:customStyle="1">
    <w:basedOn w:val="TableNormal0"/>
    <w:tblPr>
      <w:tblStyleRowBandSize w:val="1"/>
      <w:tblStyleColBandSize w:val="1"/>
      <w:tblCellMar>
        <w:top w:w="0.0" w:type="dxa"/>
        <w:left w:w="108.0" w:type="dxa"/>
        <w:bottom w:w="0.0" w:type="dxa"/>
        <w:right w:w="108.0" w:type="dxa"/>
      </w:tblCellMar>
    </w:tblPr>
  </w:style>
  <w:style w:type="table" w:styleId="af1" w:customStyle="1">
    <w:basedOn w:val="TableNormal0"/>
    <w:tblPr>
      <w:tblStyleRowBandSize w:val="1"/>
      <w:tblStyleColBandSize w:val="1"/>
      <w:tblCellMar>
        <w:top w:w="0.0" w:type="dxa"/>
        <w:left w:w="108.0" w:type="dxa"/>
        <w:bottom w:w="0.0" w:type="dxa"/>
        <w:right w:w="108.0" w:type="dxa"/>
      </w:tblCellMar>
    </w:tblPr>
  </w:style>
  <w:style w:type="table" w:styleId="af2" w:customStyle="1">
    <w:basedOn w:val="TableNormal0"/>
    <w:tblPr>
      <w:tblStyleRowBandSize w:val="1"/>
      <w:tblStyleColBandSize w:val="1"/>
      <w:tblCellMar>
        <w:top w:w="0.0" w:type="dxa"/>
        <w:left w:w="108.0" w:type="dxa"/>
        <w:bottom w:w="0.0" w:type="dxa"/>
        <w:right w:w="108.0" w:type="dxa"/>
      </w:tblCellMar>
    </w:tblPr>
  </w:style>
  <w:style w:type="table" w:styleId="af3" w:customStyle="1">
    <w:basedOn w:val="TableNormal0"/>
    <w:tblPr>
      <w:tblStyleRowBandSize w:val="1"/>
      <w:tblStyleColBandSize w:val="1"/>
      <w:tblCellMar>
        <w:top w:w="0.0" w:type="dxa"/>
        <w:left w:w="108.0" w:type="dxa"/>
        <w:bottom w:w="0.0" w:type="dxa"/>
        <w:right w:w="108.0" w:type="dxa"/>
      </w:tblCellMar>
    </w:tblPr>
  </w:style>
  <w:style w:type="table" w:styleId="af4" w:customStyle="1">
    <w:basedOn w:val="TableNormal0"/>
    <w:tblPr>
      <w:tblStyleRowBandSize w:val="1"/>
      <w:tblStyleColBandSize w:val="1"/>
      <w:tblCellMar>
        <w:top w:w="15.0" w:type="dxa"/>
        <w:left w:w="15.0" w:type="dxa"/>
        <w:bottom w:w="15.0" w:type="dxa"/>
        <w:right w:w="15.0" w:type="dxa"/>
      </w:tblCellMar>
    </w:tblPr>
  </w:style>
  <w:style w:type="table" w:styleId="af5" w:customStyle="1">
    <w:basedOn w:val="TableNormal0"/>
    <w:tblPr>
      <w:tblStyleRowBandSize w:val="1"/>
      <w:tblStyleColBandSize w:val="1"/>
      <w:tblCellMar>
        <w:top w:w="55.0" w:type="dxa"/>
        <w:left w:w="55.0" w:type="dxa"/>
        <w:bottom w:w="55.0" w:type="dxa"/>
        <w:right w:w="55.0" w:type="dxa"/>
      </w:tblCellMar>
    </w:tblPr>
  </w:style>
  <w:style w:type="character" w:styleId="Mencinsinresolver">
    <w:name w:val="Unresolved Mention"/>
    <w:basedOn w:val="Fuentedeprrafopredeter"/>
    <w:uiPriority w:val="99"/>
    <w:semiHidden w:val="1"/>
    <w:unhideWhenUsed w:val="1"/>
    <w:rsid w:val="00627CB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2.xml"/><Relationship Id="rId22" Type="http://schemas.openxmlformats.org/officeDocument/2006/relationships/header" Target="header1.xml"/><Relationship Id="rId21" Type="http://schemas.openxmlformats.org/officeDocument/2006/relationships/header" Target="header3.xml"/><Relationship Id="rId24" Type="http://schemas.openxmlformats.org/officeDocument/2006/relationships/footer" Target="footer3.xml"/><Relationship Id="rId23"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ujyUAl1rUiPZ4xeeg8uPkXdJlU6hp3aMzY9NGSZxAIc/edit?gid=0#gid=0" TargetMode="External"/><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cs.google.com/spreadsheets/d/1BDoSKmA7QIjocpiZvPFnAk3RW4i1ebNleILECi8Uo2c/edit?usp=drive_link" TargetMode="External"/><Relationship Id="rId8" Type="http://schemas.openxmlformats.org/officeDocument/2006/relationships/hyperlink" Target="https://docs.google.com/spreadsheets/d/1BDoSKmA7QIjocpiZvPFnAk3RW4i1ebNleILECi8Uo2c/edit?usp=drive_link" TargetMode="External"/><Relationship Id="rId11" Type="http://schemas.openxmlformats.org/officeDocument/2006/relationships/hyperlink" Target="https://docs.google.com/document/d/1yeaetO30HZrpi6gdIk8rcezPh_Fyqj7IhifuiRHp1Z4/edit?usp=sharing" TargetMode="External"/><Relationship Id="rId10" Type="http://schemas.openxmlformats.org/officeDocument/2006/relationships/hyperlink" Target="https://docs.google.com/spreadsheets/d/1Ujf466FjXcRbMxeeG7TeePTyAxuly85FZrB1DDvPaiE/edit?usp=sharing" TargetMode="External"/><Relationship Id="rId13" Type="http://schemas.openxmlformats.org/officeDocument/2006/relationships/hyperlink" Target="https://drive.google.com/drive/folders/179UWfB9yTLZ0A4tdCUzBdiJNrLhs5dWV?usp=drive_link" TargetMode="External"/><Relationship Id="rId12" Type="http://schemas.openxmlformats.org/officeDocument/2006/relationships/hyperlink" Target="https://drive.google.com/drive/folders/1g11nLwuYgSg759ZzhCYPl3jcZhCLYAEd?usp=drive_link" TargetMode="External"/><Relationship Id="rId15" Type="http://schemas.openxmlformats.org/officeDocument/2006/relationships/hyperlink" Target="https://docs.google.com/spreadsheets/d/1KXIxclA8T8OB2Q4aGVq5GUxG8Fwm0UmTN37CT91Z77E/edit?gid=1885794762#gid=1885794762" TargetMode="External"/><Relationship Id="rId14" Type="http://schemas.openxmlformats.org/officeDocument/2006/relationships/hyperlink" Target="https://drive.google.com/drive/u/0/folders/1o79La_5ueuyGgdW5uVHy6R0wI-SeHiuQ" TargetMode="External"/><Relationship Id="rId17" Type="http://schemas.openxmlformats.org/officeDocument/2006/relationships/hyperlink" Target="https://drive.google.com/drive/folders/13u0rCLJ6Jsn14NyCq5DlTX9rIY8OhP9t" TargetMode="External"/><Relationship Id="rId16" Type="http://schemas.openxmlformats.org/officeDocument/2006/relationships/hyperlink" Target="https://drive.google.com/drive/folders/1_8nY5QU4143pitrcNwtXtppDCZDha91Z?usp=drive_link" TargetMode="External"/><Relationship Id="rId19" Type="http://schemas.openxmlformats.org/officeDocument/2006/relationships/hyperlink" Target="https://drive.google.com/drive/folders/19IV5Pnt9p6KOA60D7DaqU8Y30X2kShqC" TargetMode="External"/><Relationship Id="rId18" Type="http://schemas.openxmlformats.org/officeDocument/2006/relationships/hyperlink" Target="https://drive.google.com/drive/folders/1xli0-6_BSBOvgdW3Om53vCGM0tZjUWf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2R6iSVI13o653YOwFbIzEd86A==">CgMxLjA4AHIhMXNLVzhPbDZZaFlma3JoX0JoemZMLUpLVklwM19oa1V6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2025-11-25T16:48:00Z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